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32</w:t>
      </w:r>
    </w:p>
    <w:p>
      <w:r>
        <w:t>Bundesgericht (BGE), 1992-01-31, FR</w:t>
      </w:r>
    </w:p>
    <w:p>
      <w:r>
        <w:rPr>
          <w:b/>
        </w:rPr>
        <w:t xml:space="preserve">Quelle: </w:t>
      </w:r>
      <w:r>
        <w:t>https://mcp.opencaselaw.ch/entscheid/bge_118 IV 32</w:t>
      </w:r>
    </w:p>
    <w:p>
      <w:r>
        <w:t>FR: ATF 118 IV 32</w:t>
      </w:r>
    </w:p>
    <w:p>
      <w:r>
        <w:t>IT: DTF 118 IV 32</w:t>
      </w:r>
    </w:p>
    <w:p>
      <w:pPr>
        <w:pStyle w:val="Heading2"/>
      </w:pPr>
      <w:r>
        <w:t>Regeste</w:t>
      </w:r>
    </w:p>
    <w:p>
      <w:r>
        <w:t>Regeste Art. 140 Ziff. 1 Abs. 2 StGB; Veruntreuung. Eine Forderung kann anvertrautes Gut im Sinne von Art. 140 Ziff. 1 Abs. 2 StGB sein (E. 2a; Bestätigung der Rechtsprechung). Wer eine künftige Forderung aus Kaufvertrag abtritt und sich verpflichtet, den Verkaufserlös dem Zessionar zukommen zu lassen, macht sich der Veruntreuung im Sinne von Art. 140 Ziff. 1 Abs. 2 StGB schuldig, wenn er den Erlös zur Tilgung einer persönlichen Schuld durch Verrechnung verwendet, ohne den Willen und die Fähigkeit zu haben, den Forderungsbetrag an den Zessionar zu überweisen (E. 2b).</w:t>
      </w:r>
    </w:p>
    <w:p>
      <w:pPr>
        <w:pStyle w:val="Heading2"/>
      </w:pPr>
      <w:r>
        <w:t>Erwägungen</w:t>
      </w:r>
    </w:p>
    <w:p>
      <w:r>
        <w:rPr>
          <w:b/>
        </w:rPr>
        <w:t>E. 2</w:t>
      </w:r>
    </w:p>
    <w:p>
      <w:r>
        <w:t>a) Selon l' art. 140 ch. 1 al. 2 CP , il y a abus de confiance lorsque l'auteur a, sans droit, employé à son profit ou au profit d'un tiers une chose fongible, notamment une somme d'argent, qui lui avait été confiée. Contrairement à ce qui est prévu au premier alinéa de l' art. 140 ch. 1 CP , lorsque la chose confiée est fongible, il n'est pas nécessaire qu'elle soit la propriété d'autrui pour que son emploi illicite entraîne la répression pénale, sans quoi le mélange suffirait à exclure l'infraction; dans ce cas, la chose est confiée aussitôt que l'auteur la reçoit - et en acquiert le cas échéant la propriété - avec l'obligation de l'utiliser d'une manière particulière dans l'intérêt d'autrui, que ce soit pour la garder, l'administrer ou la livrer, selon des instructions qui peuvent être expresses ou tacites; la chose confiée peut avoir été remise matériellement à l'auteur non seulement par la victime, mais également par un tiers; tel est le cas notamment lorsqu'un mandataire procède à un encaissement d'argent pour le compte du mandant ( ATF 106 IV 259 consid. 1, ATF 105 IV 33 consid. 2, ATF 101 IV 163 consid. 2a et les références citées). Sous réserve de l'application des règles d'interprétation, la détermination de la volonté réelle des parties est une question de fait qui ne peut être réexaminée dans le cadre d'un pourvoi en nullité ( ATF 106 IV 260 consid. 2). Après l'avoir dans un premier temps nié, la jurisprudence admet maintenant qu'une créance peut constituer une chose confiée au sens de l' art. 140 ch. 1 al. 2 CP ( ATF 109 IV 29 ss, confirmé par ATF 111 IV 21 consid. 2, ATF 117 IV 433 consid. 3). Cette modification va dans le sens souhaité par la doctrine. En effet, bien qu'ils ne soient pas favorables à une interprétation par trop extensive de cette disposition, plusieurs auteurs ont relevé que sa ratio legis impliquait que l'on ne méconnaisse pas l'évolution intervenue dans la vie économique et que l'on considère que des valeurs immatérielles confiées peuvent également être l'objet de l'infraction prévue à l'al. 2 de l' art. 140 BGE 118 IV 32 S. 34 ch. 1 CP (voir GUIDO JENNY, Aktuelle Fragen des Vermögens- und Urkundenstrafrechts, ZBJV 1988, 400 ss et les références citées). L'infraction est intentionnelle et suppose, même si l'alinéa ne le dit pas expressément, l'existence d'un dessein d'enrichissement illégitime ( ATF 105 IV 34 consid. 3a et les arrêts cités), qui peut être réalisé par dol éventuel (ATF ATF 105 IV 36 consid. 3a). L'élément subjectif de l'infraction n'est pas donné en cas d'Ersatzbereitschaft, par quoi l'on désigne l'état de l'auteur qui peut justifier d'avoir, dès lors que la créance était exigible (voir ATF 77 IV 10 ss), eu à tout moment la volonté et la possibilité de représenter l'équivalent des montants employés ( ATF 105 IV 35 et les arrêts cités, ATF 81 IV 234 consid. c). b) En l'espèce, il résulte de l'état de fait retenu par l'autorité cantonale - qui lie la Cour de cassation - que le recourant et la BPS sont convenus, en la forme écrite, d'une cession de créance par laquelle le recourant cédait à la banque la créance future résultant pour lui de la vente des logements sis dans l'immeuble. Cette cession de créance ayant été valablement conclue, elle a eu pour effet de transférer, dès sa naissance, toute créance relative à la vente - totale ou partielle - de l'immeuble en question du patrimoine du recourant à celui de la BPS ( ATF 113 II 167 consid. d). Dès sa naissance, une telle créance ne faisait par conséquent pas partie du patrimoine du recourant, pour lequel elle constituait une créance appartenant à autrui, ce qui créait une situation parfaitement analogue à celle prévue au premier alinéa de l' art. 140 ch. 1 CP , le bien en question n'étant toutefois pas celui prévu audit alinéa, mais à l'alinéa 2 de la même disposition. Comme le débiteur était encore inconnu au moment de la cession, la banque n'était pas en situation de recouvrer elle-même la créance cédée; ainsi qu'il a été constaté, les parties ont passé en l'espèce, dans le cadre de la cession, un accord spécial aux termes duquel le recourant s'engageait à faire verser le produit de la vente à la BPS. Il lui incombait dès lors de faire en sorte que celui-ci parvienne à la banque soit directement soit par son intermédiaire. Selon la jurisprudence, une chose est confiée au sens de l' art. 140 ch. 1 CP lorsqu'elle est remise ou laissée à l'auteur pour qu'il l'utilise de manière déterminée dans l'intérêt d'autrui, en particulier pour la garder, l'administrer ou la livrer selon des instructions qui peuvent être expresses ou tacites ( ATF 106 IV 259 consid. 1, ATF 101 IV 33 et les arrêts cités). Tel était bien le cas en l'espèce puisqu'en vertu de l'accord passé avec la banque, le recourant ne pouvait pas disposer BGE 118 IV 32 S. 35 dans son propre intérêt du montant dû à raison de la créance cédée. Il ne pouvait, au contraire, l'utiliser que pour le faire parvenir à la banque ou, à tout le moins, le tenir à la disposition de celle-ci. Or, le recourant a employé la créance cédée, qui lui avait été confiée, pour éteindre par compensation une dette personnelle, de sorte que la banque n'a pas obtenu le paiement de la créance cédée; agissant ainsi en toute connaissance de cause, il a commis, dans un dessein d'enrichissement illégitime, l'infraction prévue et punie par l' art. 140 ch. 1 al. 2 CP , étant précisé que la suite des événements montre qu'il n'avait pas eu constamment la volonté et les moyens de payer le montant de la créance cédée.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